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1.svg" ContentType="image/svg"/>
  <Override PartName="/word/media/image13.svg" ContentType="image/svg"/>
  <Override PartName="/word/media/image9.svg" ContentType="image/svg"/>
  <Override PartName="/word/media/image12.png" ContentType="image/png"/>
  <Override PartName="/word/media/image3.png" ContentType="image/png"/>
  <Override PartName="/word/media/image8.png" ContentType="image/png"/>
  <Override PartName="/word/media/image7.jpeg" ContentType="image/jpeg"/>
  <Override PartName="/word/media/image18.png" ContentType="image/png"/>
  <Override PartName="/word/media/image20.png" ContentType="image/png"/>
  <Override PartName="/word/media/image5.png" ContentType="image/png"/>
  <Override PartName="/word/media/image14.png" ContentType="image/png"/>
  <Override PartName="/word/media/image4.png" ContentType="image/png"/>
  <Override PartName="/word/media/image2.png" ContentType="image/png"/>
  <Override PartName="/word/media/image29.wmf" ContentType="image/x-wmf"/>
  <Override PartName="/word/media/image28.png" ContentType="image/png"/>
  <Override PartName="/word/media/image16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10.png" ContentType="image/png"/>
  <Override PartName="/word/media/image19.svg" ContentType="image/svg"/>
  <Override PartName="/word/media/image21.svg" ContentType="image/svg"/>
  <Override PartName="/word/media/image23.png" ContentType="image/png"/>
  <Override PartName="/word/media/image22.png" ContentType="image/png"/>
  <Override PartName="/word/media/image1.jpeg" ContentType="image/jpeg"/>
  <Override PartName="/word/media/image6.png" ContentType="image/png"/>
  <Override PartName="/word/media/image17.svg" ContentType="image/svg"/>
  <Override PartName="/word/media/image15.svg" ContentType="image/sv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</w:rPr>
        <w:t>RESILIENCE</w:t>
      </w: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Residential Energy-Efﬁciency Strategies Incorporating Lifecycle Sustainability and Circular Economy</w:t>
      </w:r>
    </w:p>
    <w:p>
      <w:pPr>
        <w:pStyle w:val="Normal"/>
        <w:bidi w:val="0"/>
        <w:jc w:val="center"/>
        <w:rPr/>
      </w:pPr>
      <w:r>
        <w:rPr/>
        <w:t xml:space="preserve">Estratégias de eﬁciência energética residencial que incorporam a sustentabilidade do ciclo de vida e a economia circular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1843405</wp:posOffset>
            </wp:positionH>
            <wp:positionV relativeFrom="paragraph">
              <wp:posOffset>120015</wp:posOffset>
            </wp:positionV>
            <wp:extent cx="518160" cy="452755"/>
            <wp:effectExtent l="0" t="0" r="0" b="0"/>
            <wp:wrapNone/>
            <wp:docPr id="1" name="Picture 65" descr="A blue flag with yellow stars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5" descr="A blue flag with yellow stars&#10;&#10;Description automatically generated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3633470</wp:posOffset>
            </wp:positionH>
            <wp:positionV relativeFrom="paragraph">
              <wp:posOffset>123825</wp:posOffset>
            </wp:positionV>
            <wp:extent cx="654050" cy="424180"/>
            <wp:effectExtent l="0" t="0" r="0" b="0"/>
            <wp:wrapNone/>
            <wp:docPr id="2" name="Picture 2" descr="Marca UC e Submarcas - Identidade Visual da Universidade de Coimbra -  Universidade de Coimbra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rca UC e Submarcas - Identidade Visual da Universidade de Coimbra -  Universidade de Coimbra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5149" r="0" b="1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2525395</wp:posOffset>
            </wp:positionH>
            <wp:positionV relativeFrom="paragraph">
              <wp:posOffset>165735</wp:posOffset>
            </wp:positionV>
            <wp:extent cx="967740" cy="332105"/>
            <wp:effectExtent l="0" t="0" r="0" b="0"/>
            <wp:wrapNone/>
            <wp:docPr id="3" name="Pictur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4396105</wp:posOffset>
            </wp:positionH>
            <wp:positionV relativeFrom="paragraph">
              <wp:posOffset>133350</wp:posOffset>
            </wp:positionV>
            <wp:extent cx="585470" cy="337820"/>
            <wp:effectExtent l="0" t="0" r="0" b="0"/>
            <wp:wrapNone/>
            <wp:docPr id="4" name="Picture 4" descr="Repositório Comum: IPC - Instituto Politécnico de Coimbra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positório Comum: IPC - Instituto Politécnico de Coimbra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75" t="0" r="748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5103495</wp:posOffset>
            </wp:positionH>
            <wp:positionV relativeFrom="paragraph">
              <wp:posOffset>93345</wp:posOffset>
            </wp:positionV>
            <wp:extent cx="551815" cy="391160"/>
            <wp:effectExtent l="0" t="0" r="0" b="0"/>
            <wp:wrapNone/>
            <wp:docPr id="5" name="Picture 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899160" cy="315595"/>
            <wp:effectExtent l="0" t="0" r="0" b="0"/>
            <wp:wrapNone/>
            <wp:docPr id="6" name="Picture 59" descr="A black background with a black square&#10;&#10;Description automatically generated with medium confidenc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9" descr="A black background with a black square&#10;&#10;Description automatically generated with medium confidence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945515</wp:posOffset>
            </wp:positionH>
            <wp:positionV relativeFrom="paragraph">
              <wp:posOffset>13970</wp:posOffset>
            </wp:positionV>
            <wp:extent cx="852170" cy="315595"/>
            <wp:effectExtent l="0" t="0" r="0" b="0"/>
            <wp:wrapNone/>
            <wp:docPr id="7" name="Picture 6" descr="A logo with numbers and a flag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logo with numbers and a flag&#10;&#10;Description automatically generated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09" t="15385" r="4476" b="1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Title</w:t>
      </w:r>
      <w:r>
        <w:rPr/>
        <w:t xml:space="preserve">: </w:t>
      </w:r>
      <w:r>
        <w:rPr>
          <w:b w:val="false"/>
          <w:bCs w:val="false"/>
        </w:rPr>
        <w:t>RESILIENCE</w:t>
      </w:r>
      <w:r>
        <w:rPr/>
        <w:t xml:space="preserve"> - Residential Energy-Efﬁciency Strategies Incorporating Lifecycle Sustainability and Circular Economy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Project Team</w:t>
      </w:r>
      <w:r>
        <w:rPr/>
        <w:t>: Álvaro Gomes; Carla Henriques; Eugénio Rodrigues; Marco Fernandes; Patrícia P. Silva; Adélio Gaspar; Humberto Jorge; Marcos Tenente; Sona Mammadzada; Luís Ventura.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Dates start/end</w:t>
      </w:r>
      <w:r>
        <w:rPr/>
        <w:t>: 28-07-2025 / 26-07-2028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Total Eligible Cost</w:t>
      </w:r>
      <w:r>
        <w:rPr/>
        <w:t xml:space="preserve">: 215.308,80 €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EU Financial Support</w:t>
      </w:r>
      <w:r>
        <w:rPr/>
        <w:t>: 183.012,48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National Financial Support</w:t>
      </w:r>
      <w:r>
        <w:rPr/>
        <w:t>: 32.296,32€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Project Code</w:t>
      </w:r>
      <w:r>
        <w:rPr/>
        <w:t>: 2023.17768.ICDT | COMPETE2030-FEDER-00888800; operação n.º 15224</w:t>
      </w:r>
    </w:p>
    <w:p>
      <w:pPr>
        <w:pStyle w:val="Normal"/>
        <w:bidi w:val="0"/>
        <w:jc w:val="start"/>
        <w:rPr/>
      </w:pPr>
      <w:r>
        <w:rPr>
          <w:b/>
          <w:bCs/>
        </w:rPr>
        <w:t>Project DOI</w:t>
      </w:r>
      <w:r>
        <w:rPr/>
        <w:t xml:space="preserve"> </w:t>
      </w:r>
      <w:hyperlink r:id="rId9" w:tgtFrame="_blank">
        <w:r>
          <w:rPr>
            <w:rStyle w:val="Hyperlink"/>
          </w:rPr>
          <w:t>https://doi.org/10.54499/2023.17768.ICDT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Beneficiaries: INESC Coimbra</w:t>
      </w:r>
      <w:r>
        <w:rPr/>
        <w:t xml:space="preserve"> - Instituto de Engenharia de Sistemas e Computadores de Coimbra, Associação para o Desenvolvimento da Aerodinâmica Industrial, Instituto Politécnico de Coimbra – ISCAC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Site</w:t>
      </w:r>
      <w:r>
        <w:rPr/>
        <w:t xml:space="preserve">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b/>
          <w:bCs/>
          <w:u w:val="single"/>
        </w:rPr>
        <w:t>Synopsis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Goal</w:t>
      </w:r>
    </w:p>
    <w:p>
      <w:pPr>
        <w:pStyle w:val="Normal"/>
        <w:bidi w:val="0"/>
        <w:jc w:val="start"/>
        <w:rPr/>
      </w:pPr>
      <w:r>
        <w:rPr/>
        <w:t>This project aims to bridge existing gaps in energy efficiency assessment methodologies by adopting a comprehensive and integrated approach that expands the assessment to other lifecycle phases of EE technologies, incorporates circular economy principles, and provides decision-markers with the tools they need to select the portfolios of measures that will be targeted by the EE programs.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Contribution</w:t>
      </w:r>
    </w:p>
    <w:p>
      <w:pPr>
        <w:pStyle w:val="Normal"/>
        <w:bidi w:val="0"/>
        <w:jc w:val="start"/>
        <w:rPr/>
      </w:pPr>
      <w:r>
        <w:rPr/>
        <w:t>Develops a comprehensive, decision-support framework combining: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Multiple Benefits of EE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Hybrid Lifecycle Analysis for full impact coverage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Circular resource assessment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Portfolio optimization for EE investment strategies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Decision-makers’ preferences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Work Plan</w:t>
      </w:r>
    </w:p>
    <w:p>
      <w:pPr>
        <w:pStyle w:val="Normal"/>
        <w:bidi w:val="0"/>
        <w:jc w:val="start"/>
        <w:rPr/>
      </w:pPr>
      <w:r>
        <w:rPr/>
        <mc:AlternateContent>
          <mc:Choice Requires="wpg">
            <w:drawing>
              <wp:anchor behindDoc="0" distT="635" distB="0" distL="635" distR="635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84470" cy="4049395"/>
                <wp:effectExtent l="635" t="635" r="635" b="0"/>
                <wp:wrapNone/>
                <wp:docPr id="8" name="Diagram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440" cy="4049280"/>
                          <a:chOff x="0" y="0"/>
                          <a:chExt cx="5284440" cy="4049280"/>
                        </a:xfrm>
                      </wpg:grpSpPr>
                      <wps:wsp>
                        <wps:cNvPr id="9" name=""/>
                        <wps:cNvSpPr/>
                        <wps:spPr>
                          <a:xfrm>
                            <a:off x="0" y="0"/>
                            <a:ext cx="5284440" cy="4049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0" y="720"/>
                            <a:ext cx="5284440" cy="47484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"/>
                        <wps:cNvSpPr/>
                        <wps:spPr>
                          <a:xfrm>
                            <a:off x="143640" y="108000"/>
                            <a:ext cx="261000" cy="261000"/>
                          </a:xfrm>
                          <a:prstGeom prst="rect">
                            <a:avLst/>
                          </a:prstGeom>
                          <a:blipFill rotWithShape="0"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550080" y="720"/>
                            <a:ext cx="4734720" cy="47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 xml:space="preserve">T1. Review of EE technologies and policies 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  <wps:wsp>
                        <wps:cNvPr id="13" name=""/>
                        <wps:cNvSpPr/>
                        <wps:spPr>
                          <a:xfrm>
                            <a:off x="0" y="595800"/>
                            <a:ext cx="5284440" cy="47556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143640" y="703080"/>
                            <a:ext cx="261000" cy="261000"/>
                          </a:xfrm>
                          <a:prstGeom prst="rect">
                            <a:avLst/>
                          </a:prstGeom>
                          <a:blipFill rotWithShape="0"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550080" y="595800"/>
                            <a:ext cx="4734720" cy="475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>T2. Review of indicators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1191240"/>
                            <a:ext cx="5284440" cy="47484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>
                            <a:off x="143640" y="1298520"/>
                            <a:ext cx="261000" cy="261000"/>
                          </a:xfrm>
                          <a:prstGeom prst="rect">
                            <a:avLst/>
                          </a:prstGeom>
                          <a:blipFill rotWithShape="0"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"/>
                        <wps:cNvSpPr/>
                        <wps:spPr>
                          <a:xfrm>
                            <a:off x="550080" y="1191240"/>
                            <a:ext cx="4734720" cy="47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>T3. Selection of indicators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  <wps:wsp>
                        <wps:cNvPr id="19" name=""/>
                        <wps:cNvSpPr/>
                        <wps:spPr>
                          <a:xfrm>
                            <a:off x="0" y="1787040"/>
                            <a:ext cx="5284440" cy="47556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143640" y="1894320"/>
                            <a:ext cx="261000" cy="261720"/>
                          </a:xfrm>
                          <a:prstGeom prst="rect">
                            <a:avLst/>
                          </a:prstGeom>
                          <a:blipFill rotWithShape="0">
                            <a:blip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550080" y="1787040"/>
                            <a:ext cx="4734720" cy="475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>T4. Energy performance simulation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  <wps:wsp>
                        <wps:cNvPr id="22" name=""/>
                        <wps:cNvSpPr/>
                        <wps:spPr>
                          <a:xfrm>
                            <a:off x="0" y="2382480"/>
                            <a:ext cx="5284440" cy="47556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143640" y="2489760"/>
                            <a:ext cx="261000" cy="261000"/>
                          </a:xfrm>
                          <a:prstGeom prst="rect">
                            <a:avLst/>
                          </a:prstGeom>
                          <a:blipFill rotWithShape="0">
                            <a:blip r:embed="rId18">
                              <a:extLs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550080" y="2382480"/>
                            <a:ext cx="4734720" cy="475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>T5. Hybrid lifecycle analysis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  <wps:wsp>
                        <wps:cNvPr id="25" name=""/>
                        <wps:cNvSpPr/>
                        <wps:spPr>
                          <a:xfrm>
                            <a:off x="0" y="2978280"/>
                            <a:ext cx="5284440" cy="47556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143640" y="3085560"/>
                            <a:ext cx="261000" cy="261000"/>
                          </a:xfrm>
                          <a:prstGeom prst="rect">
                            <a:avLst/>
                          </a:prstGeom>
                          <a:blipFill rotWithShape="0">
                            <a:blip r:embed="rId20">
                              <a:extLs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550080" y="2978280"/>
                            <a:ext cx="4734720" cy="475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>T6. Model for designing energy efficiency funding policies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  <wps:wsp>
                        <wps:cNvPr id="28" name=""/>
                        <wps:cNvSpPr/>
                        <wps:spPr>
                          <a:xfrm>
                            <a:off x="0" y="3573720"/>
                            <a:ext cx="5284440" cy="47484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lt1">
                              <a:lumMod val="95000"/>
                            </a:scheme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143640" y="3681000"/>
                            <a:ext cx="261000" cy="261000"/>
                          </a:xfrm>
                          <a:prstGeom prst="rect">
                            <a:avLst/>
                          </a:prstGeom>
                          <a:blipFill rotWithShape="0">
                            <a:blip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2600">
                            <a:solidFill>
                              <a:srgbClr val="ffffff">
                                <a:alpha val="0"/>
                              </a:srgb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550080" y="3573720"/>
                            <a:ext cx="4734720" cy="47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11340"/>
                                  <w:tab w:val="left" w:pos="0" w:leader="none"/>
                                </w:tabs>
                                <w:overflowPunct w:val="false"/>
                                <w:bidi w:val="0"/>
                                <w:spacing w:lineRule="auto" w:line="240" w:before="0" w:after="98"/>
                                <w:ind w:hanging="0" w:start="0" w:end="0"/>
                                <w:jc w:val="start"/>
                                <w:rPr/>
                              </w:pPr>
                              <w:r>
                                <w:rPr>
                                  <w:rFonts w:eastAsia="DejaVu Sans" w:cs="DejaVu Sans" w:ascii="Arial" w:hAnsi="Arial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shadow w:val="false"/>
                                  <w:emboss w:val="false"/>
                                  <w:imprint w:val="false"/>
                                  <w:color w:val="000000"/>
                                  <w:spacing w:val="0"/>
                                  <w:kern w:val="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shd w:fill="auto" w:val="clear"/>
                                  <w:vertAlign w:val="baseline"/>
                                  <w:em w:val="none"/>
                                  <w:lang w:val="en-US"/>
                                </w:rPr>
                                <w:t>T7. Sustainability benchmark certificate</w:t>
                              </w:r>
                            </w:p>
                          </w:txbxContent>
                        </wps:txbx>
                        <wps:bodyPr lIns="50040" rIns="50040" tIns="50040" bIns="5004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iagram1" style="position:absolute;margin-left:0pt;margin-top:0.05pt;width:416.1pt;height:318.85pt" coordorigin="0,1" coordsize="8322,6377">
                <v:rect id="shape_0" path="m0,0l-2147483645,0l-2147483645,-2147483646l0,-2147483646xe" stroked="f" o:allowincell="f" style="position:absolute;left:0;top:1;width:8321;height:6376;mso-wrap-style:none;v-text-anchor:middle">
                  <v:fill o:detectmouseclick="t" on="false"/>
                  <v:stroke color="#3465a4" joinstyle="round" endcap="flat"/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2;width:8321;height:747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171;width:410;height:410;mso-wrap-style:none;v-text-anchor:middle">
                  <v:fill r:id="rId24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2;width:7455;height:747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 xml:space="preserve">T1. Review of EE technologies and policies </w:t>
                        </w:r>
                      </w:p>
                    </w:txbxContent>
                  </v:textbox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939;width:8321;height:748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1108;width:410;height:410;mso-wrap-style:none;v-text-anchor:middle">
                  <v:fill r:id="rId25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939;width:7455;height:748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>T2. Review of indicators</w:t>
                        </w:r>
                      </w:p>
                    </w:txbxContent>
                  </v:textbox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1877;width:8321;height:747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2046;width:410;height:410;mso-wrap-style:none;v-text-anchor:middle">
                  <v:fill r:id="rId26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1877;width:7455;height:747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>T3. Selection of indicators</w:t>
                        </w:r>
                      </w:p>
                    </w:txbxContent>
                  </v:textbox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2815;width:8321;height:748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2984;width:410;height:411;mso-wrap-style:none;v-text-anchor:middle">
                  <v:fill r:id="rId27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2815;width:7455;height:748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>T4. Energy performance simulation</w:t>
                        </w:r>
                      </w:p>
                    </w:txbxContent>
                  </v:textbox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3753;width:8321;height:748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3922;width:410;height:410;mso-wrap-style:none;v-text-anchor:middle">
                  <v:fill r:id="rId28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3753;width:7455;height:748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>T5. Hybrid lifecycle analysis</w:t>
                        </w:r>
                      </w:p>
                    </w:txbxContent>
                  </v:textbox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4691;width:8321;height:748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4860;width:410;height:410;mso-wrap-style:none;v-text-anchor:middle">
                  <v:fill r:id="rId29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4691;width:7455;height:748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>T6. Model for designing energy efficiency funding policies</w:t>
                        </w:r>
                      </w:p>
                    </w:txbxContent>
                  </v:textbox>
                  <w10:wrap type="none"/>
                </v:rect>
                <v:roundrect id="shape_0" path="l-2147483642,-2147483642l-2147483631,-2147483630l-2147483641,0l-2147483642,-2147483642l-2147483629,-2147483628l-2147483632,-2147483640l-2147483642,-2147483642xe" fillcolor="#f2f2f2" stroked="f" o:allowincell="f" style="position:absolute;left:0;top:5629;width:8321;height:747;mso-wrap-style:none;v-text-anchor:middle">
                  <v:fill o:detectmouseclick="t" type="solid" color2="#0d0d0d"/>
                  <v:stroke color="#3465a4" joinstyle="round" endcap="flat"/>
                  <w10:wrap type="none"/>
                </v:roundrect>
                <v:rect id="shape_0" path="m0,0l-2147483645,0l-2147483645,-2147483646l0,-2147483646xe" stroked="t" o:allowincell="f" style="position:absolute;left:226;top:5798;width:410;height:410;mso-wrap-style:none;v-text-anchor:middle">
                  <v:fill r:id="rId30" o:detectmouseclick="t" type="frame" color2="black"/>
                  <v:stroke color="white" weight="12600" joinstyle="miter" endcap="flat"/>
                  <w10:wrap type="none"/>
                </v:rect>
                <v:rect id="shape_0" path="m0,0l-2147483645,0l-2147483645,-2147483646l0,-2147483646xe" stroked="f" o:allowincell="f" style="position:absolute;left:866;top:5629;width:7455;height:747;mso-wrap-style:squar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11340"/>
                            <w:tab w:val="left" w:pos="0" w:leader="none"/>
                          </w:tabs>
                          <w:overflowPunct w:val="false"/>
                          <w:bidi w:val="0"/>
                          <w:spacing w:lineRule="auto" w:line="240" w:before="0" w:after="98"/>
                          <w:ind w:hanging="0" w:start="0" w:end="0"/>
                          <w:jc w:val="start"/>
                          <w:rPr/>
                        </w:pPr>
                        <w:r>
                          <w:rPr>
                            <w:rFonts w:eastAsia="DejaVu Sans" w:cs="DejaVu Sans" w:ascii="Arial" w:hAnsi="Arial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outline w:val="false"/>
                            <w:shadow w:val="false"/>
                            <w:emboss w:val="false"/>
                            <w:imprint w:val="false"/>
                            <w:color w:val="000000"/>
                            <w:spacing w:val="0"/>
                            <w:kern w:val="2"/>
                            <w:position w:val="0"/>
                            <w:sz w:val="28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em w:val="none"/>
                            <w:lang w:val="en-US"/>
                          </w:rPr>
                          <w:t>T7. Sustainability benchmark certificate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-58420</wp:posOffset>
            </wp:positionH>
            <wp:positionV relativeFrom="paragraph">
              <wp:posOffset>111125</wp:posOffset>
            </wp:positionV>
            <wp:extent cx="5598160" cy="2137410"/>
            <wp:effectExtent l="0" t="0" r="0" b="0"/>
            <wp:wrapNone/>
            <wp:docPr id="31" name="Imagem 18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183" descr="" title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213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u w:val="single"/>
        </w:rPr>
      </w:pPr>
      <w:r>
        <w:rPr>
          <w:b/>
          <w:bCs/>
          <w:u w:val="single"/>
        </w:rPr>
        <w:t>Indicators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Journals</w:t>
      </w:r>
    </w:p>
    <w:p>
      <w:pPr>
        <w:pStyle w:val="Normal"/>
        <w:bidi w:val="0"/>
        <w:jc w:val="start"/>
        <w:rPr/>
      </w:pPr>
      <w:r>
        <w:rPr/>
        <w:t xml:space="preserve">Tenente, M., Carvalho, T., Gomes, Á. </w:t>
      </w:r>
      <w:r>
        <w:rPr>
          <w:i/>
        </w:rPr>
        <w:t>et al.</w:t>
      </w:r>
      <w:r>
        <w:rPr/>
        <w:t xml:space="preserve"> Integrating multiple impacts and lifecycle assessment in the evaluation of energy efficiency funding programs. </w:t>
      </w:r>
      <w:r>
        <w:rPr>
          <w:i/>
        </w:rPr>
        <w:t>Energy Efficiency</w:t>
      </w:r>
      <w:r>
        <w:rPr/>
        <w:t xml:space="preserve"> </w:t>
      </w:r>
      <w:r>
        <w:rPr>
          <w:b/>
        </w:rPr>
        <w:t>18</w:t>
      </w:r>
      <w:r>
        <w:rPr/>
        <w:t xml:space="preserve">, 96 (2025). </w:t>
      </w:r>
      <w:hyperlink r:id="rId32">
        <w:r>
          <w:rPr>
            <w:rStyle w:val="Hyperlink"/>
          </w:rPr>
          <w:t>https://doi.org/10.1007/s12053-025-10375-5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Conferences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A Critical Review of Policy and Multi-Criteria Indicators for Scaling Residential Building Resilience in Portugal’s EPBD Implementation; ECEEE Summer Study, 2026.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Optimization of Energy Efficiency Renovations in Buildings: Unlocking Multiple Benefits Across Environmental, Economic, and Social Dimensions; ECEEE Summer Study, 2026.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Msc Dissertations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Cidades Inteligentes, Sustentáveis e Resilientes: Papel das CER Proposta de uma Taxonomia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Disseminação de renováveis variáveis e da eletrificação numa rede de distribuição - análise simulada de impactos e o papel da demand response.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RESERVAS ESTRATÉGICAS DE ENERGIA ELÉTRICA EM PORTUGAL Estimativa considerando a Incerteza e a Gestão da Procura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PhD Thesis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1134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FreeSans"/>
        <w:kern w:val="2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AR PL KaitiM GB" w:cs="FreeSans"/>
      <w:color w:val="auto"/>
      <w:kern w:val="2"/>
      <w:sz w:val="24"/>
      <w:szCs w:val="24"/>
      <w:lang w:val="pt-PT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AR PL KaitiM GB" w:cs="Free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hyperlink" Target="https://doi.org/10.54499/2023.17768.ICDT" TargetMode="External"/><Relationship Id="rId10" Type="http://schemas.openxmlformats.org/officeDocument/2006/relationships/image" Target="media/image8.png"/><Relationship Id="rId11" Type="http://schemas.openxmlformats.org/officeDocument/2006/relationships/image" Target="media/image9.svg"/><Relationship Id="rId12" Type="http://schemas.openxmlformats.org/officeDocument/2006/relationships/image" Target="media/image10.png"/><Relationship Id="rId13" Type="http://schemas.openxmlformats.org/officeDocument/2006/relationships/image" Target="media/image11.svg"/><Relationship Id="rId14" Type="http://schemas.openxmlformats.org/officeDocument/2006/relationships/image" Target="media/image12.png"/><Relationship Id="rId15" Type="http://schemas.openxmlformats.org/officeDocument/2006/relationships/image" Target="media/image13.svg"/><Relationship Id="rId16" Type="http://schemas.openxmlformats.org/officeDocument/2006/relationships/image" Target="media/image14.png"/><Relationship Id="rId17" Type="http://schemas.openxmlformats.org/officeDocument/2006/relationships/image" Target="media/image15.svg"/><Relationship Id="rId18" Type="http://schemas.openxmlformats.org/officeDocument/2006/relationships/image" Target="media/image16.png"/><Relationship Id="rId19" Type="http://schemas.openxmlformats.org/officeDocument/2006/relationships/image" Target="media/image17.svg"/><Relationship Id="rId20" Type="http://schemas.openxmlformats.org/officeDocument/2006/relationships/image" Target="media/image18.png"/><Relationship Id="rId21" Type="http://schemas.openxmlformats.org/officeDocument/2006/relationships/image" Target="media/image19.svg"/><Relationship Id="rId22" Type="http://schemas.openxmlformats.org/officeDocument/2006/relationships/image" Target="media/image20.png"/><Relationship Id="rId23" Type="http://schemas.openxmlformats.org/officeDocument/2006/relationships/image" Target="media/image21.svg"/><Relationship Id="rId24" Type="http://schemas.openxmlformats.org/officeDocument/2006/relationships/image" Target="media/image22.png"/><Relationship Id="rId25" Type="http://schemas.openxmlformats.org/officeDocument/2006/relationships/image" Target="media/image23.png"/><Relationship Id="rId26" Type="http://schemas.openxmlformats.org/officeDocument/2006/relationships/image" Target="media/image24.png"/><Relationship Id="rId27" Type="http://schemas.openxmlformats.org/officeDocument/2006/relationships/image" Target="media/image25.png"/><Relationship Id="rId28" Type="http://schemas.openxmlformats.org/officeDocument/2006/relationships/image" Target="media/image26.png"/><Relationship Id="rId29" Type="http://schemas.openxmlformats.org/officeDocument/2006/relationships/image" Target="media/image27.png"/><Relationship Id="rId30" Type="http://schemas.openxmlformats.org/officeDocument/2006/relationships/image" Target="media/image28.png"/><Relationship Id="rId31" Type="http://schemas.openxmlformats.org/officeDocument/2006/relationships/image" Target="media/image29.wmf"/><Relationship Id="rId32" Type="http://schemas.openxmlformats.org/officeDocument/2006/relationships/hyperlink" Target="https://doi.org/10.1007/s12053-025-10375-5" TargetMode="Externa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LibreOffice/25.2.3.2$Linux_X86_64 LibreOffice_project/520$Build-2</Application>
  <AppVersion>15.0000</AppVersion>
  <Pages>3</Pages>
  <Words>377</Words>
  <Characters>2559</Characters>
  <CharactersWithSpaces>2890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2026-05-25T15:50:20Z</dcterms:created>
  <dc:creator/>
  <dc:description/>
  <dc:language>pt-PT</dc:language>
  <cp:lastModifiedBy/>
  <dcterms:modified xsi:type="dcterms:W3CDTF">2026-05-25T19:13:44Z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